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AF6F" w14:textId="77777777" w:rsidR="00E66966" w:rsidRPr="00670FC9" w:rsidRDefault="006B5DC5" w:rsidP="006F0FC8">
      <w:pPr>
        <w:pStyle w:val="NoSpacing"/>
        <w:jc w:val="center"/>
        <w:rPr>
          <w:rFonts w:ascii="Helvetica" w:hAnsi="Helvetica"/>
          <w:b/>
          <w:sz w:val="32"/>
          <w:szCs w:val="32"/>
        </w:rPr>
      </w:pPr>
      <w:r>
        <w:rPr>
          <w:rFonts w:ascii="Helvetica" w:hAnsi="Helvetica"/>
          <w:b/>
          <w:sz w:val="32"/>
          <w:szCs w:val="32"/>
        </w:rPr>
        <w:t>MAX</w:t>
      </w:r>
      <w:r w:rsidR="0043417D">
        <w:rPr>
          <w:rFonts w:ascii="Helvetica" w:hAnsi="Helvetica"/>
          <w:b/>
          <w:sz w:val="32"/>
          <w:szCs w:val="32"/>
        </w:rPr>
        <w:t>grid</w:t>
      </w:r>
      <w:r w:rsidR="00494092" w:rsidRPr="00494092">
        <w:rPr>
          <w:rFonts w:ascii="Helvetica" w:hAnsi="Helvetica" w:cs="Helvetica"/>
          <w:b/>
          <w:sz w:val="32"/>
          <w:szCs w:val="32"/>
          <w:vertAlign w:val="superscript"/>
        </w:rPr>
        <w:t>®</w:t>
      </w:r>
      <w:r w:rsidRPr="00494092">
        <w:rPr>
          <w:rFonts w:ascii="Helvetica" w:hAnsi="Helvetica"/>
          <w:b/>
          <w:sz w:val="32"/>
          <w:szCs w:val="32"/>
          <w:vertAlign w:val="superscript"/>
        </w:rPr>
        <w:t xml:space="preserve"> </w:t>
      </w:r>
      <w:r>
        <w:rPr>
          <w:rFonts w:ascii="Helvetica" w:hAnsi="Helvetica"/>
          <w:b/>
          <w:sz w:val="32"/>
          <w:szCs w:val="32"/>
        </w:rPr>
        <w:t>Flexible MAT</w:t>
      </w:r>
    </w:p>
    <w:p w14:paraId="3D12F29E" w14:textId="77777777" w:rsidR="00E66966" w:rsidRPr="00B13E27" w:rsidRDefault="00E66966" w:rsidP="001A6763">
      <w:pPr>
        <w:pStyle w:val="NoSpacing"/>
        <w:ind w:left="1080" w:hanging="900"/>
        <w:jc w:val="center"/>
        <w:rPr>
          <w:rFonts w:ascii="Helvetica" w:hAnsi="Helvetica"/>
          <w:b/>
          <w:sz w:val="24"/>
          <w:szCs w:val="24"/>
        </w:rPr>
      </w:pPr>
      <w:r w:rsidRPr="00B13E27">
        <w:rPr>
          <w:rFonts w:ascii="Helvetica" w:hAnsi="Helvetica"/>
          <w:b/>
          <w:sz w:val="24"/>
          <w:szCs w:val="24"/>
        </w:rPr>
        <w:t xml:space="preserve">Models: </w:t>
      </w:r>
      <w:r w:rsidR="006B5DC5">
        <w:rPr>
          <w:rFonts w:ascii="Helvetica" w:hAnsi="Helvetica"/>
          <w:b/>
          <w:sz w:val="24"/>
          <w:szCs w:val="24"/>
        </w:rPr>
        <w:t>M</w:t>
      </w:r>
      <w:r w:rsidR="0043417D">
        <w:rPr>
          <w:rFonts w:ascii="Helvetica" w:hAnsi="Helvetica"/>
          <w:b/>
          <w:sz w:val="24"/>
          <w:szCs w:val="24"/>
        </w:rPr>
        <w:t>G12</w:t>
      </w:r>
    </w:p>
    <w:p w14:paraId="1AF26135" w14:textId="77777777" w:rsidR="00E66966" w:rsidRPr="00DE597F" w:rsidRDefault="00E66966" w:rsidP="001A6763">
      <w:pPr>
        <w:pStyle w:val="NoSpacing"/>
        <w:jc w:val="center"/>
        <w:rPr>
          <w:rFonts w:ascii="Helvetica" w:hAnsi="Helvetica"/>
          <w:b/>
          <w:szCs w:val="28"/>
        </w:rPr>
      </w:pPr>
    </w:p>
    <w:tbl>
      <w:tblPr>
        <w:tblpPr w:leftFromText="180" w:rightFromText="180" w:vertAnchor="text" w:tblpX="126" w:tblpY="1"/>
        <w:tblOverlap w:val="neve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0"/>
        <w:gridCol w:w="3780"/>
        <w:gridCol w:w="1170"/>
        <w:gridCol w:w="3800"/>
      </w:tblGrid>
      <w:tr w:rsidR="00E66966" w:rsidRPr="00DE597F" w14:paraId="3366D9EE" w14:textId="77777777" w:rsidTr="009267D5">
        <w:tc>
          <w:tcPr>
            <w:tcW w:w="1548" w:type="dxa"/>
          </w:tcPr>
          <w:p w14:paraId="5F87DE82" w14:textId="77777777" w:rsidR="00E66966" w:rsidRPr="00DE597F" w:rsidRDefault="00E66966" w:rsidP="009267D5">
            <w:pPr>
              <w:pStyle w:val="NoSpacing"/>
              <w:jc w:val="center"/>
              <w:rPr>
                <w:rFonts w:ascii="Helvetica" w:hAnsi="Helvetica"/>
                <w:b/>
                <w:sz w:val="20"/>
                <w:szCs w:val="20"/>
              </w:rPr>
            </w:pPr>
            <w:r w:rsidRPr="00DE597F">
              <w:rPr>
                <w:rFonts w:ascii="Helvetica" w:hAnsi="Helvetica"/>
                <w:b/>
                <w:sz w:val="20"/>
                <w:szCs w:val="20"/>
              </w:rPr>
              <w:t>LEED Category</w:t>
            </w:r>
          </w:p>
        </w:tc>
        <w:tc>
          <w:tcPr>
            <w:tcW w:w="810" w:type="dxa"/>
          </w:tcPr>
          <w:p w14:paraId="7A6FFA2A" w14:textId="77777777" w:rsidR="00E66966" w:rsidRPr="00DE597F" w:rsidRDefault="00E66966" w:rsidP="009267D5">
            <w:pPr>
              <w:pStyle w:val="NoSpacing"/>
              <w:jc w:val="center"/>
              <w:rPr>
                <w:rFonts w:ascii="Helvetica" w:hAnsi="Helvetica"/>
                <w:b/>
                <w:sz w:val="20"/>
                <w:szCs w:val="20"/>
              </w:rPr>
            </w:pPr>
            <w:r w:rsidRPr="00DE597F">
              <w:rPr>
                <w:rFonts w:ascii="Helvetica" w:hAnsi="Helvetica"/>
                <w:b/>
                <w:sz w:val="20"/>
                <w:szCs w:val="20"/>
              </w:rPr>
              <w:t>Credit</w:t>
            </w:r>
          </w:p>
        </w:tc>
        <w:tc>
          <w:tcPr>
            <w:tcW w:w="3780" w:type="dxa"/>
          </w:tcPr>
          <w:p w14:paraId="34DD0E67" w14:textId="77777777" w:rsidR="00E66966" w:rsidRPr="00DE597F" w:rsidRDefault="00E66966" w:rsidP="009267D5">
            <w:pPr>
              <w:pStyle w:val="NoSpacing"/>
              <w:jc w:val="center"/>
              <w:rPr>
                <w:rFonts w:ascii="Helvetica" w:hAnsi="Helvetica"/>
                <w:b/>
                <w:sz w:val="20"/>
                <w:szCs w:val="20"/>
              </w:rPr>
            </w:pPr>
            <w:r w:rsidRPr="00DE597F">
              <w:rPr>
                <w:rFonts w:ascii="Helvetica" w:hAnsi="Helvetica"/>
                <w:b/>
                <w:sz w:val="20"/>
                <w:szCs w:val="20"/>
              </w:rPr>
              <w:t>Details</w:t>
            </w:r>
          </w:p>
        </w:tc>
        <w:tc>
          <w:tcPr>
            <w:tcW w:w="1170" w:type="dxa"/>
          </w:tcPr>
          <w:p w14:paraId="1F7E43B0" w14:textId="77777777" w:rsidR="00E66966" w:rsidRPr="00DE597F" w:rsidRDefault="00E66966" w:rsidP="009267D5">
            <w:pPr>
              <w:pStyle w:val="NoSpacing"/>
              <w:jc w:val="center"/>
              <w:rPr>
                <w:rFonts w:ascii="Helvetica" w:hAnsi="Helvetica"/>
                <w:b/>
                <w:sz w:val="20"/>
                <w:szCs w:val="20"/>
              </w:rPr>
            </w:pPr>
            <w:r w:rsidRPr="00DE597F">
              <w:rPr>
                <w:rFonts w:ascii="Helvetica" w:hAnsi="Helvetica"/>
                <w:b/>
                <w:sz w:val="20"/>
                <w:szCs w:val="20"/>
              </w:rPr>
              <w:t>Points</w:t>
            </w:r>
          </w:p>
        </w:tc>
        <w:tc>
          <w:tcPr>
            <w:tcW w:w="3800" w:type="dxa"/>
          </w:tcPr>
          <w:p w14:paraId="49F7683D" w14:textId="77777777" w:rsidR="00E66966" w:rsidRPr="00DE597F" w:rsidRDefault="00E66966" w:rsidP="009267D5">
            <w:pPr>
              <w:pStyle w:val="NoSpacing"/>
              <w:jc w:val="center"/>
              <w:rPr>
                <w:rFonts w:ascii="Helvetica" w:hAnsi="Helvetica"/>
                <w:b/>
                <w:sz w:val="20"/>
                <w:szCs w:val="20"/>
              </w:rPr>
            </w:pPr>
            <w:r w:rsidRPr="00DE597F">
              <w:rPr>
                <w:rFonts w:ascii="Helvetica" w:hAnsi="Helvetica"/>
                <w:b/>
                <w:sz w:val="20"/>
                <w:szCs w:val="20"/>
              </w:rPr>
              <w:t>Product/Material Detail</w:t>
            </w:r>
          </w:p>
        </w:tc>
      </w:tr>
      <w:tr w:rsidR="00E66966" w:rsidRPr="00DE597F" w14:paraId="46C218F4" w14:textId="77777777" w:rsidTr="00516502">
        <w:trPr>
          <w:trHeight w:val="864"/>
        </w:trPr>
        <w:tc>
          <w:tcPr>
            <w:tcW w:w="1548" w:type="dxa"/>
            <w:vMerge w:val="restart"/>
            <w:vAlign w:val="center"/>
          </w:tcPr>
          <w:p w14:paraId="0BC35D46"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Material and Resources (MR)</w:t>
            </w:r>
          </w:p>
        </w:tc>
        <w:tc>
          <w:tcPr>
            <w:tcW w:w="810" w:type="dxa"/>
            <w:vAlign w:val="center"/>
          </w:tcPr>
          <w:p w14:paraId="60DE09CA"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4</w:t>
            </w:r>
          </w:p>
        </w:tc>
        <w:tc>
          <w:tcPr>
            <w:tcW w:w="3780" w:type="dxa"/>
            <w:vAlign w:val="center"/>
          </w:tcPr>
          <w:p w14:paraId="412A6F89" w14:textId="77777777" w:rsidR="00E66966" w:rsidRPr="00DE597F" w:rsidRDefault="00E66966" w:rsidP="00B13E27">
            <w:pPr>
              <w:pStyle w:val="NoSpacing"/>
              <w:jc w:val="center"/>
              <w:rPr>
                <w:rFonts w:ascii="Helvetica" w:hAnsi="Helvetica"/>
                <w:sz w:val="20"/>
                <w:szCs w:val="20"/>
              </w:rPr>
            </w:pPr>
            <w:r w:rsidRPr="00DE597F">
              <w:rPr>
                <w:rFonts w:ascii="Helvetica" w:hAnsi="Helvetica"/>
                <w:sz w:val="20"/>
                <w:szCs w:val="20"/>
              </w:rPr>
              <w:t>Recycled Content:  Post-consumer + ½ Pre-consumer content</w:t>
            </w:r>
          </w:p>
        </w:tc>
        <w:tc>
          <w:tcPr>
            <w:tcW w:w="1170" w:type="dxa"/>
            <w:vAlign w:val="center"/>
          </w:tcPr>
          <w:p w14:paraId="1405BCDB" w14:textId="77777777" w:rsidR="00E66966" w:rsidRPr="00DE597F" w:rsidRDefault="00E66966" w:rsidP="006B5DC5">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vAlign w:val="center"/>
          </w:tcPr>
          <w:p w14:paraId="3B2AC81E" w14:textId="77777777" w:rsidR="00516502" w:rsidRPr="0043417D" w:rsidRDefault="00516502" w:rsidP="0043417D">
            <w:pPr>
              <w:pStyle w:val="NoSpacing"/>
              <w:ind w:left="72"/>
              <w:rPr>
                <w:rFonts w:cs="Calibri"/>
              </w:rPr>
            </w:pPr>
            <w:r w:rsidRPr="0043417D">
              <w:rPr>
                <w:rFonts w:cs="Calibri"/>
              </w:rPr>
              <w:t xml:space="preserve">Post-consumer </w:t>
            </w:r>
            <w:r w:rsidR="0043417D" w:rsidRPr="0043417D">
              <w:rPr>
                <w:rFonts w:cs="Calibri"/>
              </w:rPr>
              <w:t>0%</w:t>
            </w:r>
          </w:p>
          <w:p w14:paraId="734C0754" w14:textId="77777777" w:rsidR="00516502" w:rsidRPr="00462F71" w:rsidRDefault="00516502" w:rsidP="0043417D">
            <w:pPr>
              <w:pStyle w:val="NoSpacing"/>
              <w:ind w:left="72"/>
              <w:rPr>
                <w:rFonts w:cs="Calibri"/>
                <w:sz w:val="20"/>
                <w:szCs w:val="20"/>
              </w:rPr>
            </w:pPr>
            <w:r w:rsidRPr="0043417D">
              <w:rPr>
                <w:rFonts w:cs="Calibri"/>
              </w:rPr>
              <w:t>Pre-consumer</w:t>
            </w:r>
            <w:r w:rsidR="0043417D" w:rsidRPr="0043417D">
              <w:rPr>
                <w:rFonts w:cs="Calibri"/>
              </w:rPr>
              <w:t xml:space="preserve"> 0%</w:t>
            </w:r>
          </w:p>
        </w:tc>
      </w:tr>
      <w:tr w:rsidR="00E66966" w:rsidRPr="00DE597F" w14:paraId="0C4431CF" w14:textId="77777777" w:rsidTr="00516502">
        <w:tc>
          <w:tcPr>
            <w:tcW w:w="1548" w:type="dxa"/>
            <w:vMerge/>
          </w:tcPr>
          <w:p w14:paraId="1F4410CD" w14:textId="77777777" w:rsidR="00E66966" w:rsidRPr="00DE597F" w:rsidRDefault="00E66966" w:rsidP="009267D5">
            <w:pPr>
              <w:pStyle w:val="NoSpacing"/>
              <w:jc w:val="center"/>
              <w:rPr>
                <w:rFonts w:ascii="Helvetica" w:hAnsi="Helvetica"/>
                <w:sz w:val="20"/>
                <w:szCs w:val="20"/>
              </w:rPr>
            </w:pPr>
          </w:p>
        </w:tc>
        <w:tc>
          <w:tcPr>
            <w:tcW w:w="810" w:type="dxa"/>
            <w:vAlign w:val="center"/>
          </w:tcPr>
          <w:p w14:paraId="114538E1"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5</w:t>
            </w:r>
          </w:p>
        </w:tc>
        <w:tc>
          <w:tcPr>
            <w:tcW w:w="3780" w:type="dxa"/>
          </w:tcPr>
          <w:p w14:paraId="27A3D041" w14:textId="77777777" w:rsidR="00E66966" w:rsidRPr="00DE597F" w:rsidRDefault="00E66966" w:rsidP="009267D5">
            <w:pPr>
              <w:pStyle w:val="NoSpacing"/>
              <w:rPr>
                <w:rFonts w:ascii="Helvetica" w:hAnsi="Helvetica"/>
                <w:sz w:val="20"/>
                <w:szCs w:val="20"/>
              </w:rPr>
            </w:pPr>
            <w:r w:rsidRPr="00DE597F">
              <w:rPr>
                <w:rFonts w:ascii="Helvetica" w:hAnsi="Helvetica"/>
                <w:sz w:val="20"/>
                <w:szCs w:val="20"/>
              </w:rPr>
              <w:t>Regional Material:  Use building materials or products that have been extracted, harvested or recovered, as well as manufactured,</w:t>
            </w:r>
          </w:p>
          <w:p w14:paraId="52791026" w14:textId="77777777" w:rsidR="00E66966" w:rsidRPr="00DE597F" w:rsidRDefault="00E66966" w:rsidP="009267D5">
            <w:pPr>
              <w:pStyle w:val="NoSpacing"/>
              <w:rPr>
                <w:rFonts w:ascii="Helvetica" w:hAnsi="Helvetica"/>
                <w:sz w:val="20"/>
                <w:szCs w:val="20"/>
              </w:rPr>
            </w:pPr>
            <w:r w:rsidRPr="00DE597F">
              <w:rPr>
                <w:rFonts w:ascii="Helvetica" w:hAnsi="Helvetica"/>
                <w:sz w:val="20"/>
                <w:szCs w:val="20"/>
              </w:rPr>
              <w:t>within 500 miles of the project site</w:t>
            </w:r>
          </w:p>
        </w:tc>
        <w:tc>
          <w:tcPr>
            <w:tcW w:w="1170" w:type="dxa"/>
            <w:vAlign w:val="center"/>
          </w:tcPr>
          <w:p w14:paraId="096D6709" w14:textId="77777777" w:rsidR="00E66966" w:rsidRPr="00DE597F" w:rsidRDefault="00E66966" w:rsidP="006B5DC5">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vAlign w:val="center"/>
          </w:tcPr>
          <w:p w14:paraId="451686F5" w14:textId="77777777" w:rsidR="00E66966" w:rsidRPr="00DE597F" w:rsidRDefault="006B5DC5" w:rsidP="00516502">
            <w:pPr>
              <w:pStyle w:val="NoSpacing"/>
              <w:rPr>
                <w:rFonts w:ascii="Helvetica" w:hAnsi="Helvetica"/>
                <w:sz w:val="20"/>
                <w:szCs w:val="20"/>
              </w:rPr>
            </w:pPr>
            <w:r>
              <w:rPr>
                <w:rFonts w:ascii="Helvetica" w:hAnsi="Helvetica"/>
                <w:sz w:val="20"/>
                <w:szCs w:val="20"/>
              </w:rPr>
              <w:t>Not applicable</w:t>
            </w:r>
          </w:p>
        </w:tc>
      </w:tr>
      <w:tr w:rsidR="00E66966" w:rsidRPr="00DE597F" w14:paraId="71634C9C" w14:textId="77777777" w:rsidTr="00516502">
        <w:tc>
          <w:tcPr>
            <w:tcW w:w="1548" w:type="dxa"/>
            <w:vMerge w:val="restart"/>
            <w:vAlign w:val="center"/>
          </w:tcPr>
          <w:p w14:paraId="2F378CA5"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Indoor Environmental Quality (IEQ)</w:t>
            </w:r>
          </w:p>
        </w:tc>
        <w:tc>
          <w:tcPr>
            <w:tcW w:w="810" w:type="dxa"/>
            <w:vAlign w:val="center"/>
          </w:tcPr>
          <w:p w14:paraId="011B637F"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4.1</w:t>
            </w:r>
          </w:p>
        </w:tc>
        <w:tc>
          <w:tcPr>
            <w:tcW w:w="3780" w:type="dxa"/>
          </w:tcPr>
          <w:p w14:paraId="12C4B28A" w14:textId="77777777" w:rsidR="00E66966" w:rsidRPr="00DE597F" w:rsidRDefault="00E66966" w:rsidP="009267D5">
            <w:pPr>
              <w:pStyle w:val="NoSpacing"/>
              <w:rPr>
                <w:rFonts w:ascii="Helvetica" w:hAnsi="Helvetica"/>
                <w:sz w:val="20"/>
                <w:szCs w:val="20"/>
              </w:rPr>
            </w:pPr>
            <w:r w:rsidRPr="00DE597F">
              <w:rPr>
                <w:rFonts w:ascii="Helvetica" w:hAnsi="Helvetica"/>
                <w:sz w:val="20"/>
                <w:szCs w:val="20"/>
              </w:rPr>
              <w:t>Low-Emitting Materials—Adhesives and Sealants</w:t>
            </w:r>
          </w:p>
        </w:tc>
        <w:tc>
          <w:tcPr>
            <w:tcW w:w="1170" w:type="dxa"/>
            <w:vAlign w:val="center"/>
          </w:tcPr>
          <w:p w14:paraId="1F0222D7" w14:textId="77777777" w:rsidR="00E66966" w:rsidRPr="00DE597F" w:rsidRDefault="00E66966" w:rsidP="006B5DC5">
            <w:pPr>
              <w:pStyle w:val="NoSpacing"/>
              <w:jc w:val="center"/>
              <w:rPr>
                <w:rFonts w:ascii="Helvetica" w:hAnsi="Helvetica"/>
                <w:sz w:val="20"/>
                <w:szCs w:val="20"/>
              </w:rPr>
            </w:pPr>
            <w:r w:rsidRPr="00DE597F">
              <w:rPr>
                <w:rFonts w:ascii="Helvetica" w:hAnsi="Helvetica"/>
                <w:sz w:val="20"/>
                <w:szCs w:val="20"/>
              </w:rPr>
              <w:t>1 possible point</w:t>
            </w:r>
          </w:p>
        </w:tc>
        <w:tc>
          <w:tcPr>
            <w:tcW w:w="3800" w:type="dxa"/>
            <w:vAlign w:val="center"/>
          </w:tcPr>
          <w:p w14:paraId="2FFF54C1" w14:textId="77777777" w:rsidR="00E66966" w:rsidRPr="00DE597F" w:rsidRDefault="00E66966" w:rsidP="00516502">
            <w:pPr>
              <w:pStyle w:val="NoSpacing"/>
              <w:rPr>
                <w:rFonts w:ascii="Helvetica" w:hAnsi="Helvetica"/>
                <w:sz w:val="20"/>
                <w:szCs w:val="20"/>
              </w:rPr>
            </w:pPr>
            <w:r w:rsidRPr="00DE597F">
              <w:rPr>
                <w:rFonts w:ascii="Helvetica" w:hAnsi="Helvetica"/>
                <w:sz w:val="20"/>
                <w:szCs w:val="20"/>
              </w:rPr>
              <w:t xml:space="preserve">Not applicable. </w:t>
            </w:r>
          </w:p>
        </w:tc>
      </w:tr>
      <w:tr w:rsidR="00E66966" w:rsidRPr="00DE597F" w14:paraId="5B10923D" w14:textId="77777777" w:rsidTr="00516502">
        <w:tc>
          <w:tcPr>
            <w:tcW w:w="1548" w:type="dxa"/>
            <w:vMerge/>
            <w:vAlign w:val="center"/>
          </w:tcPr>
          <w:p w14:paraId="097EF2BA" w14:textId="77777777" w:rsidR="00E66966" w:rsidRPr="00DE597F" w:rsidRDefault="00E66966" w:rsidP="009267D5">
            <w:pPr>
              <w:pStyle w:val="NoSpacing"/>
              <w:jc w:val="center"/>
              <w:rPr>
                <w:rFonts w:ascii="Helvetica" w:hAnsi="Helvetica"/>
                <w:sz w:val="20"/>
                <w:szCs w:val="20"/>
              </w:rPr>
            </w:pPr>
          </w:p>
        </w:tc>
        <w:tc>
          <w:tcPr>
            <w:tcW w:w="810" w:type="dxa"/>
            <w:vAlign w:val="center"/>
          </w:tcPr>
          <w:p w14:paraId="6632709B"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4.2</w:t>
            </w:r>
          </w:p>
        </w:tc>
        <w:tc>
          <w:tcPr>
            <w:tcW w:w="3780" w:type="dxa"/>
          </w:tcPr>
          <w:p w14:paraId="3816DC80" w14:textId="77777777" w:rsidR="00E66966" w:rsidRPr="00DE597F" w:rsidRDefault="00E66966" w:rsidP="009267D5">
            <w:pPr>
              <w:pStyle w:val="NoSpacing"/>
              <w:rPr>
                <w:rFonts w:ascii="Helvetica" w:hAnsi="Helvetica"/>
                <w:sz w:val="20"/>
                <w:szCs w:val="20"/>
              </w:rPr>
            </w:pPr>
            <w:r w:rsidRPr="00DE597F">
              <w:rPr>
                <w:rFonts w:ascii="Helvetica" w:hAnsi="Helvetica"/>
                <w:sz w:val="20"/>
                <w:szCs w:val="20"/>
              </w:rPr>
              <w:t>IE Q Credit 4.2: Low-Emitting Materials—Paints and Coatings</w:t>
            </w:r>
          </w:p>
        </w:tc>
        <w:tc>
          <w:tcPr>
            <w:tcW w:w="1170" w:type="dxa"/>
            <w:vAlign w:val="center"/>
          </w:tcPr>
          <w:p w14:paraId="6015ED72" w14:textId="77777777" w:rsidR="00E66966" w:rsidRPr="00DE597F" w:rsidRDefault="00E66966" w:rsidP="006B5DC5">
            <w:pPr>
              <w:pStyle w:val="NoSpacing"/>
              <w:jc w:val="center"/>
              <w:rPr>
                <w:rFonts w:ascii="Helvetica" w:hAnsi="Helvetica"/>
                <w:sz w:val="20"/>
                <w:szCs w:val="20"/>
              </w:rPr>
            </w:pPr>
            <w:r w:rsidRPr="00DE597F">
              <w:rPr>
                <w:rFonts w:ascii="Helvetica" w:hAnsi="Helvetica"/>
                <w:sz w:val="20"/>
                <w:szCs w:val="20"/>
              </w:rPr>
              <w:t>1 possible point</w:t>
            </w:r>
          </w:p>
        </w:tc>
        <w:tc>
          <w:tcPr>
            <w:tcW w:w="3800" w:type="dxa"/>
            <w:vAlign w:val="center"/>
          </w:tcPr>
          <w:p w14:paraId="44430B2D" w14:textId="77777777" w:rsidR="00E66966" w:rsidRPr="00DE597F" w:rsidRDefault="00E66966" w:rsidP="00516502">
            <w:pPr>
              <w:pStyle w:val="NoSpacing"/>
              <w:rPr>
                <w:rFonts w:ascii="Helvetica" w:hAnsi="Helvetica"/>
                <w:sz w:val="20"/>
                <w:szCs w:val="20"/>
              </w:rPr>
            </w:pPr>
            <w:r w:rsidRPr="00DE597F">
              <w:rPr>
                <w:rFonts w:ascii="Helvetica" w:hAnsi="Helvetica"/>
                <w:sz w:val="20"/>
                <w:szCs w:val="20"/>
              </w:rPr>
              <w:t xml:space="preserve">Not applicable. </w:t>
            </w:r>
          </w:p>
        </w:tc>
      </w:tr>
      <w:tr w:rsidR="00E66966" w:rsidRPr="00DE597F" w14:paraId="1BDF41BE" w14:textId="77777777" w:rsidTr="00516502">
        <w:tc>
          <w:tcPr>
            <w:tcW w:w="1548" w:type="dxa"/>
            <w:vMerge/>
            <w:vAlign w:val="center"/>
          </w:tcPr>
          <w:p w14:paraId="25C726A6" w14:textId="77777777" w:rsidR="00E66966" w:rsidRPr="00DE597F" w:rsidRDefault="00E66966" w:rsidP="009267D5">
            <w:pPr>
              <w:pStyle w:val="NoSpacing"/>
              <w:jc w:val="center"/>
              <w:rPr>
                <w:rFonts w:ascii="Helvetica" w:hAnsi="Helvetica"/>
                <w:sz w:val="20"/>
                <w:szCs w:val="20"/>
              </w:rPr>
            </w:pPr>
          </w:p>
        </w:tc>
        <w:tc>
          <w:tcPr>
            <w:tcW w:w="810" w:type="dxa"/>
            <w:vAlign w:val="center"/>
          </w:tcPr>
          <w:p w14:paraId="642264C7"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4.3</w:t>
            </w:r>
          </w:p>
        </w:tc>
        <w:tc>
          <w:tcPr>
            <w:tcW w:w="3780" w:type="dxa"/>
          </w:tcPr>
          <w:p w14:paraId="16810228" w14:textId="77777777" w:rsidR="00E66966" w:rsidRPr="00DE597F" w:rsidRDefault="00E66966" w:rsidP="009267D5">
            <w:pPr>
              <w:pStyle w:val="NoSpacing"/>
              <w:rPr>
                <w:rFonts w:ascii="Helvetica" w:hAnsi="Helvetica"/>
                <w:sz w:val="20"/>
                <w:szCs w:val="20"/>
              </w:rPr>
            </w:pPr>
            <w:r w:rsidRPr="00DE597F">
              <w:rPr>
                <w:rFonts w:ascii="Helvetica" w:hAnsi="Helvetica"/>
                <w:sz w:val="20"/>
                <w:szCs w:val="20"/>
              </w:rPr>
              <w:t>Low-Emitting Materials—Flooring Systems</w:t>
            </w:r>
          </w:p>
        </w:tc>
        <w:tc>
          <w:tcPr>
            <w:tcW w:w="1170" w:type="dxa"/>
            <w:vAlign w:val="center"/>
          </w:tcPr>
          <w:p w14:paraId="6E3C8687" w14:textId="77777777" w:rsidR="00E66966" w:rsidRPr="00DE597F" w:rsidRDefault="00E66966" w:rsidP="006B5DC5">
            <w:pPr>
              <w:pStyle w:val="NoSpacing"/>
              <w:jc w:val="center"/>
              <w:rPr>
                <w:rFonts w:ascii="Helvetica" w:hAnsi="Helvetica"/>
                <w:sz w:val="20"/>
                <w:szCs w:val="20"/>
              </w:rPr>
            </w:pPr>
            <w:r w:rsidRPr="00DE597F">
              <w:rPr>
                <w:rFonts w:ascii="Helvetica" w:hAnsi="Helvetica"/>
                <w:sz w:val="20"/>
                <w:szCs w:val="20"/>
              </w:rPr>
              <w:t>1 possible point</w:t>
            </w:r>
          </w:p>
        </w:tc>
        <w:tc>
          <w:tcPr>
            <w:tcW w:w="3800" w:type="dxa"/>
            <w:vAlign w:val="center"/>
          </w:tcPr>
          <w:p w14:paraId="2301EC9E" w14:textId="77777777" w:rsidR="00E66966" w:rsidRPr="00DE597F" w:rsidRDefault="00E66966" w:rsidP="00516502">
            <w:pPr>
              <w:pStyle w:val="NoSpacing"/>
              <w:rPr>
                <w:rFonts w:ascii="Helvetica" w:hAnsi="Helvetica"/>
                <w:sz w:val="20"/>
                <w:szCs w:val="20"/>
              </w:rPr>
            </w:pPr>
            <w:r w:rsidRPr="00DE597F">
              <w:rPr>
                <w:rFonts w:ascii="Helvetica" w:hAnsi="Helvetica"/>
                <w:sz w:val="20"/>
                <w:szCs w:val="20"/>
              </w:rPr>
              <w:t>Not applicable. Product does not require adhesives or sealants in the field.</w:t>
            </w:r>
          </w:p>
        </w:tc>
      </w:tr>
      <w:tr w:rsidR="00E66966" w:rsidRPr="00DE597F" w14:paraId="38542644" w14:textId="77777777" w:rsidTr="00516502">
        <w:tc>
          <w:tcPr>
            <w:tcW w:w="1548" w:type="dxa"/>
            <w:vMerge/>
          </w:tcPr>
          <w:p w14:paraId="5EE9CF6B" w14:textId="77777777" w:rsidR="00E66966" w:rsidRPr="00DE597F" w:rsidRDefault="00E66966" w:rsidP="009267D5">
            <w:pPr>
              <w:pStyle w:val="NoSpacing"/>
              <w:jc w:val="center"/>
              <w:rPr>
                <w:rFonts w:ascii="Helvetica" w:hAnsi="Helvetica"/>
                <w:sz w:val="20"/>
                <w:szCs w:val="20"/>
              </w:rPr>
            </w:pPr>
          </w:p>
        </w:tc>
        <w:tc>
          <w:tcPr>
            <w:tcW w:w="810" w:type="dxa"/>
            <w:vAlign w:val="center"/>
          </w:tcPr>
          <w:p w14:paraId="4AC71AF4" w14:textId="77777777" w:rsidR="00E66966" w:rsidRPr="00DE597F" w:rsidRDefault="00E66966" w:rsidP="009267D5">
            <w:pPr>
              <w:pStyle w:val="NoSpacing"/>
              <w:jc w:val="center"/>
              <w:rPr>
                <w:rFonts w:ascii="Helvetica" w:hAnsi="Helvetica"/>
                <w:sz w:val="20"/>
                <w:szCs w:val="20"/>
              </w:rPr>
            </w:pPr>
            <w:r w:rsidRPr="00DE597F">
              <w:rPr>
                <w:rFonts w:ascii="Helvetica" w:hAnsi="Helvetica"/>
                <w:sz w:val="20"/>
                <w:szCs w:val="20"/>
              </w:rPr>
              <w:t>5</w:t>
            </w:r>
          </w:p>
        </w:tc>
        <w:tc>
          <w:tcPr>
            <w:tcW w:w="3780" w:type="dxa"/>
          </w:tcPr>
          <w:p w14:paraId="5361EFBC" w14:textId="77777777" w:rsidR="00E66966" w:rsidRPr="00DE597F" w:rsidRDefault="00E66966" w:rsidP="009267D5">
            <w:pPr>
              <w:pStyle w:val="NoSpacing"/>
              <w:rPr>
                <w:rFonts w:ascii="Helvetica" w:hAnsi="Helvetica"/>
                <w:sz w:val="20"/>
                <w:szCs w:val="20"/>
              </w:rPr>
            </w:pPr>
            <w:r w:rsidRPr="00DE597F">
              <w:rPr>
                <w:rFonts w:ascii="Helvetica" w:hAnsi="Helvetica"/>
                <w:sz w:val="20"/>
                <w:szCs w:val="20"/>
              </w:rPr>
              <w:t>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 s and slotted systems that allow for cleaning underneath. Roll-out mats are acceptable only when maintained on a weekly basis by a contracted service organization.</w:t>
            </w:r>
          </w:p>
        </w:tc>
        <w:tc>
          <w:tcPr>
            <w:tcW w:w="1170" w:type="dxa"/>
            <w:vAlign w:val="center"/>
          </w:tcPr>
          <w:p w14:paraId="6F36EB1E" w14:textId="77777777" w:rsidR="00E66966" w:rsidRPr="00DE597F" w:rsidRDefault="00E66966" w:rsidP="006B5DC5">
            <w:pPr>
              <w:pStyle w:val="NoSpacing"/>
              <w:jc w:val="center"/>
              <w:rPr>
                <w:rFonts w:ascii="Helvetica" w:hAnsi="Helvetica"/>
                <w:sz w:val="20"/>
                <w:szCs w:val="20"/>
              </w:rPr>
            </w:pPr>
            <w:r>
              <w:rPr>
                <w:rFonts w:ascii="Helvetica" w:hAnsi="Helvetica"/>
                <w:sz w:val="20"/>
                <w:szCs w:val="20"/>
              </w:rPr>
              <w:t>1 possible point</w:t>
            </w:r>
          </w:p>
        </w:tc>
        <w:tc>
          <w:tcPr>
            <w:tcW w:w="3800" w:type="dxa"/>
            <w:vAlign w:val="center"/>
          </w:tcPr>
          <w:p w14:paraId="28E6C65A" w14:textId="77777777" w:rsidR="00E66966" w:rsidRPr="00DE597F" w:rsidRDefault="00E66966" w:rsidP="00516502">
            <w:pPr>
              <w:pStyle w:val="NoSpacing"/>
              <w:rPr>
                <w:rFonts w:ascii="Helvetica" w:hAnsi="Helvetica"/>
                <w:sz w:val="20"/>
                <w:szCs w:val="20"/>
              </w:rPr>
            </w:pPr>
            <w:r w:rsidRPr="00DE597F">
              <w:rPr>
                <w:rFonts w:ascii="Helvetica" w:hAnsi="Helvetica"/>
                <w:sz w:val="20"/>
                <w:szCs w:val="20"/>
              </w:rPr>
              <w:t>Meets the requirement if size of product is at least ten (10) feet in the traffic direction and the product is properly maintained.</w:t>
            </w:r>
          </w:p>
        </w:tc>
      </w:tr>
    </w:tbl>
    <w:p w14:paraId="0F4CC1B1" w14:textId="77777777" w:rsidR="00E66966" w:rsidRPr="006F0FC8" w:rsidRDefault="00E66966" w:rsidP="006F0FC8"/>
    <w:sectPr w:rsidR="00E66966" w:rsidRPr="006F0FC8" w:rsidSect="00207CBA">
      <w:headerReference w:type="even" r:id="rId7"/>
      <w:headerReference w:type="default" r:id="rId8"/>
      <w:footerReference w:type="even" r:id="rId9"/>
      <w:footerReference w:type="default" r:id="rId10"/>
      <w:headerReference w:type="first" r:id="rId11"/>
      <w:footerReference w:type="first" r:id="rId12"/>
      <w:pgSz w:w="12240" w:h="15840"/>
      <w:pgMar w:top="244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59B3" w14:textId="77777777" w:rsidR="00662A07" w:rsidRDefault="00662A07" w:rsidP="0090304C">
      <w:pPr>
        <w:spacing w:after="0" w:line="240" w:lineRule="auto"/>
      </w:pPr>
      <w:r>
        <w:separator/>
      </w:r>
    </w:p>
  </w:endnote>
  <w:endnote w:type="continuationSeparator" w:id="0">
    <w:p w14:paraId="07C37C94" w14:textId="77777777" w:rsidR="00662A07" w:rsidRDefault="00662A0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F947" w14:textId="77777777" w:rsidR="006946D1" w:rsidRDefault="00694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65AA" w14:textId="77777777" w:rsidR="00E66966" w:rsidRDefault="00662A07">
    <w:pPr>
      <w:pStyle w:val="Footer"/>
    </w:pPr>
    <w:r>
      <w:rPr>
        <w:noProof/>
      </w:rPr>
      <w:pict w14:anchorId="5B5BF18C">
        <v:shapetype id="_x0000_t202" coordsize="21600,21600" o:spt="202" path="m,l,21600r21600,l21600,xe">
          <v:stroke joinstyle="miter"/>
          <v:path gradientshapeok="t" o:connecttype="rect"/>
        </v:shapetype>
        <v:shape id="_x0000_s2053" type="#_x0000_t202" style="position:absolute;margin-left:51.55pt;margin-top:758.05pt;width:508.9pt;height:12.05pt;z-index:-251659776;mso-position-horizontal-relative:page;mso-position-vertical-relative:page" filled="f" stroked="f">
          <v:textbox style="mso-next-textbox:#_x0000_s2053" inset="0,0,0,0">
            <w:txbxContent>
              <w:p w14:paraId="76797B5B" w14:textId="5215B6D0" w:rsidR="00E66966" w:rsidRPr="00207CBA" w:rsidRDefault="00E66966" w:rsidP="005B1903">
                <w:pPr>
                  <w:spacing w:after="0" w:line="227" w:lineRule="exact"/>
                  <w:ind w:left="20" w:right="-50"/>
                  <w:jc w:val="center"/>
                  <w:rPr>
                    <w:rFonts w:ascii="Arial" w:hAnsi="Arial" w:cs="Arial"/>
                    <w:sz w:val="20"/>
                    <w:szCs w:val="20"/>
                  </w:rPr>
                </w:pPr>
                <w:r w:rsidRPr="00207CBA">
                  <w:rPr>
                    <w:rFonts w:ascii="Arial" w:hAnsi="Arial" w:cs="Arial"/>
                    <w:color w:val="231F20"/>
                    <w:sz w:val="20"/>
                    <w:szCs w:val="20"/>
                  </w:rPr>
                  <w:t>9300 73</w:t>
                </w:r>
                <w:r w:rsidRPr="00207CBA">
                  <w:rPr>
                    <w:rFonts w:ascii="Arial" w:hAnsi="Arial" w:cs="Arial"/>
                    <w:color w:val="231F20"/>
                    <w:position w:val="7"/>
                    <w:sz w:val="11"/>
                    <w:szCs w:val="11"/>
                  </w:rPr>
                  <w:t>rd</w:t>
                </w:r>
                <w:r w:rsidRPr="00207CBA">
                  <w:rPr>
                    <w:rFonts w:ascii="Arial" w:hAnsi="Arial" w:cs="Arial"/>
                    <w:color w:val="231F20"/>
                    <w:spacing w:val="33"/>
                    <w:position w:val="7"/>
                    <w:sz w:val="11"/>
                    <w:szCs w:val="11"/>
                  </w:rPr>
                  <w:t xml:space="preserve"> </w:t>
                </w:r>
                <w:r w:rsidRPr="00207CBA">
                  <w:rPr>
                    <w:rFonts w:ascii="Arial" w:hAnsi="Arial" w:cs="Arial"/>
                    <w:color w:val="231F20"/>
                    <w:spacing w:val="-4"/>
                    <w:sz w:val="20"/>
                    <w:szCs w:val="20"/>
                  </w:rPr>
                  <w:t>A</w:t>
                </w:r>
                <w:r w:rsidRPr="00207CBA">
                  <w:rPr>
                    <w:rFonts w:ascii="Arial" w:hAnsi="Arial" w:cs="Arial"/>
                    <w:color w:val="231F20"/>
                    <w:sz w:val="20"/>
                    <w:szCs w:val="20"/>
                  </w:rPr>
                  <w:t>venue North, Minneapolis, MN 55428</w:t>
                </w:r>
                <w:r>
                  <w:rPr>
                    <w:rFonts w:ascii="Arial" w:hAnsi="Arial" w:cs="Arial"/>
                    <w:color w:val="231F20"/>
                    <w:sz w:val="20"/>
                    <w:szCs w:val="20"/>
                  </w:rPr>
                  <w:t xml:space="preserve"> </w:t>
                </w:r>
                <w:r w:rsidRPr="00207CBA">
                  <w:rPr>
                    <w:rFonts w:ascii="Arial" w:hAnsi="Arial" w:cs="Arial"/>
                    <w:color w:val="231F20"/>
                    <w:sz w:val="20"/>
                    <w:szCs w:val="20"/>
                  </w:rPr>
                  <w:t xml:space="preserve">  </w:t>
                </w:r>
                <w:hyperlink w:history="1">
                  <w:r w:rsidRPr="00207CBA">
                    <w:rPr>
                      <w:rStyle w:val="Hyperlink"/>
                      <w:rFonts w:ascii="Arial" w:hAnsi="Arial" w:cs="Arial"/>
                      <w:color w:val="000000"/>
                      <w:sz w:val="20"/>
                      <w:szCs w:val="20"/>
                      <w:u w:val="none"/>
                    </w:rPr>
                    <w:t>ww</w:t>
                  </w:r>
                  <w:r w:rsidRPr="00207CBA">
                    <w:rPr>
                      <w:rStyle w:val="Hyperlink"/>
                      <w:rFonts w:ascii="Arial" w:hAnsi="Arial" w:cs="Arial"/>
                      <w:color w:val="000000"/>
                      <w:spacing w:val="-11"/>
                      <w:sz w:val="20"/>
                      <w:szCs w:val="20"/>
                      <w:u w:val="none"/>
                    </w:rPr>
                    <w:t>w</w:t>
                  </w:r>
                  <w:r w:rsidRPr="00207CBA">
                    <w:rPr>
                      <w:rStyle w:val="Hyperlink"/>
                      <w:rFonts w:ascii="Arial" w:hAnsi="Arial" w:cs="Arial"/>
                      <w:color w:val="000000"/>
                      <w:sz w:val="20"/>
                      <w:szCs w:val="20"/>
                      <w:u w:val="none"/>
                    </w:rPr>
                    <w:t>.Nystrom.com</w:t>
                  </w:r>
                  <w:r w:rsidRPr="00207CBA">
                    <w:rPr>
                      <w:rStyle w:val="Hyperlink"/>
                      <w:rFonts w:ascii="Arial" w:hAnsi="Arial" w:cs="Arial"/>
                      <w:color w:val="000000"/>
                      <w:spacing w:val="61"/>
                      <w:sz w:val="20"/>
                      <w:szCs w:val="20"/>
                      <w:u w:val="none"/>
                    </w:rPr>
                    <w:t xml:space="preserve"> </w:t>
                  </w:r>
                </w:hyperlink>
                <w:r w:rsidRPr="00207CBA">
                  <w:rPr>
                    <w:rFonts w:ascii="Arial" w:hAnsi="Arial" w:cs="Arial"/>
                    <w:color w:val="000000"/>
                    <w:sz w:val="20"/>
                    <w:szCs w:val="20"/>
                  </w:rPr>
                  <w:t xml:space="preserve"> </w:t>
                </w:r>
                <w:r w:rsidRPr="00207CBA">
                  <w:rPr>
                    <w:rFonts w:ascii="Arial" w:hAnsi="Arial" w:cs="Arial"/>
                    <w:color w:val="231F20"/>
                    <w:sz w:val="14"/>
                    <w:szCs w:val="14"/>
                  </w:rPr>
                  <w:t xml:space="preserve">PH </w:t>
                </w:r>
                <w:r w:rsidRPr="00207CBA">
                  <w:rPr>
                    <w:rFonts w:ascii="Arial" w:hAnsi="Arial" w:cs="Arial"/>
                    <w:color w:val="231F20"/>
                    <w:spacing w:val="13"/>
                    <w:sz w:val="14"/>
                    <w:szCs w:val="14"/>
                  </w:rPr>
                  <w:t xml:space="preserve"> </w:t>
                </w:r>
                <w:r w:rsidRPr="00207CBA">
                  <w:rPr>
                    <w:rFonts w:ascii="Arial" w:hAnsi="Arial" w:cs="Arial"/>
                    <w:color w:val="231F20"/>
                    <w:sz w:val="20"/>
                    <w:szCs w:val="20"/>
                  </w:rPr>
                  <w:t xml:space="preserve">800.547.2635   </w:t>
                </w:r>
                <w:r w:rsidRPr="00207CBA">
                  <w:rPr>
                    <w:rFonts w:ascii="Arial" w:hAnsi="Arial" w:cs="Arial"/>
                    <w:color w:val="231F20"/>
                    <w:w w:val="154"/>
                    <w:sz w:val="14"/>
                    <w:szCs w:val="14"/>
                  </w:rPr>
                  <w:t>FX</w:t>
                </w:r>
                <w:r w:rsidRPr="00207CBA">
                  <w:rPr>
                    <w:rFonts w:ascii="Arial" w:hAnsi="Arial" w:cs="Arial"/>
                    <w:color w:val="231F20"/>
                    <w:spacing w:val="1"/>
                    <w:w w:val="154"/>
                    <w:sz w:val="14"/>
                    <w:szCs w:val="14"/>
                  </w:rPr>
                  <w:t xml:space="preserve"> </w:t>
                </w:r>
                <w:r w:rsidR="006946D1">
                  <w:rPr>
                    <w:rFonts w:ascii="Arial" w:hAnsi="Arial" w:cs="Arial"/>
                    <w:color w:val="231F20"/>
                    <w:sz w:val="20"/>
                    <w:szCs w:val="20"/>
                  </w:rPr>
                  <w:t>866.900.1959</w:t>
                </w:r>
              </w:p>
              <w:p w14:paraId="2D7E593B" w14:textId="77777777" w:rsidR="00E66966" w:rsidRDefault="00E66966" w:rsidP="005B1903">
                <w:pPr>
                  <w:spacing w:after="0" w:line="227" w:lineRule="exact"/>
                  <w:ind w:left="20" w:right="-50"/>
                  <w:rPr>
                    <w:rFonts w:ascii="Trade Gothic LT Std" w:hAnsi="Trade Gothic LT Std" w:cs="Trade Gothic LT Std"/>
                    <w:sz w:val="20"/>
                    <w:szCs w:val="20"/>
                  </w:rPr>
                </w:pPr>
              </w:p>
              <w:p w14:paraId="6331F9FC" w14:textId="77777777" w:rsidR="00E66966" w:rsidRPr="005B1903" w:rsidRDefault="00E66966" w:rsidP="005B1903">
                <w:pPr>
                  <w:rPr>
                    <w:szCs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E05D" w14:textId="77777777" w:rsidR="006946D1" w:rsidRDefault="0069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3CBF" w14:textId="77777777" w:rsidR="00662A07" w:rsidRDefault="00662A07" w:rsidP="0090304C">
      <w:pPr>
        <w:spacing w:after="0" w:line="240" w:lineRule="auto"/>
      </w:pPr>
      <w:r>
        <w:separator/>
      </w:r>
    </w:p>
  </w:footnote>
  <w:footnote w:type="continuationSeparator" w:id="0">
    <w:p w14:paraId="520BB3FC" w14:textId="77777777" w:rsidR="00662A07" w:rsidRDefault="00662A0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6362" w14:textId="77777777" w:rsidR="006946D1" w:rsidRDefault="00694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3B09" w14:textId="77777777" w:rsidR="00E66966" w:rsidRDefault="00D250EE" w:rsidP="000E1C67">
    <w:pPr>
      <w:pStyle w:val="Header"/>
      <w:ind w:left="180"/>
    </w:pPr>
    <w:r>
      <w:rPr>
        <w:noProof/>
      </w:rPr>
      <w:drawing>
        <wp:anchor distT="0" distB="0" distL="114300" distR="114300" simplePos="0" relativeHeight="251659776" behindDoc="1" locked="0" layoutInCell="1" allowOverlap="1" wp14:anchorId="424C3D8F" wp14:editId="01E2786F">
          <wp:simplePos x="0" y="0"/>
          <wp:positionH relativeFrom="column">
            <wp:posOffset>104140</wp:posOffset>
          </wp:positionH>
          <wp:positionV relativeFrom="paragraph">
            <wp:posOffset>-357505</wp:posOffset>
          </wp:positionV>
          <wp:extent cx="2322830" cy="1157605"/>
          <wp:effectExtent l="19050" t="0" r="1270" b="0"/>
          <wp:wrapNone/>
          <wp:docPr id="1"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srcRect/>
                  <a:stretch>
                    <a:fillRect/>
                  </a:stretch>
                </pic:blipFill>
                <pic:spPr bwMode="auto">
                  <a:xfrm>
                    <a:off x="0" y="0"/>
                    <a:ext cx="2322830" cy="1157605"/>
                  </a:xfrm>
                  <a:prstGeom prst="rect">
                    <a:avLst/>
                  </a:prstGeom>
                  <a:noFill/>
                </pic:spPr>
              </pic:pic>
            </a:graphicData>
          </a:graphic>
        </wp:anchor>
      </w:drawing>
    </w:r>
    <w:r w:rsidR="00662A07">
      <w:rPr>
        <w:noProof/>
      </w:rPr>
      <w:pict w14:anchorId="6832F9DC">
        <v:shapetype id="_x0000_t202" coordsize="21600,21600" o:spt="202" path="m,l,21600r21600,l21600,xe">
          <v:stroke joinstyle="miter"/>
          <v:path gradientshapeok="t" o:connecttype="rect"/>
        </v:shapetype>
        <v:shape id="_x0000_s2050" type="#_x0000_t202" style="position:absolute;left:0;text-align:left;margin-left:273.6pt;margin-top:63.65pt;width:308.45pt;height:18pt;z-index:-251657728;mso-position-horizontal-relative:page;mso-position-vertical-relative:page" filled="f" stroked="f">
          <v:textbox style="mso-next-textbox:#_x0000_s2050" inset="0,0,0,0">
            <w:txbxContent>
              <w:p w14:paraId="714E5CE6" w14:textId="77777777" w:rsidR="00E66966" w:rsidRPr="00207CBA" w:rsidRDefault="00E66966" w:rsidP="00207CBA">
                <w:pPr>
                  <w:spacing w:after="0" w:line="353" w:lineRule="exact"/>
                  <w:jc w:val="right"/>
                  <w:rPr>
                    <w:rFonts w:ascii="Arial" w:hAnsi="Arial" w:cs="Arial"/>
                    <w:sz w:val="32"/>
                    <w:szCs w:val="32"/>
                  </w:rPr>
                </w:pPr>
                <w:r>
                  <w:rPr>
                    <w:rFonts w:ascii="Arial" w:hAnsi="Arial" w:cs="Arial"/>
                    <w:b/>
                    <w:bCs/>
                    <w:color w:val="231F20"/>
                    <w:sz w:val="32"/>
                    <w:szCs w:val="32"/>
                  </w:rPr>
                  <w:t xml:space="preserve">Entrance Flooring Systems – 12 48 </w:t>
                </w:r>
                <w:r w:rsidR="00F00FED">
                  <w:rPr>
                    <w:rFonts w:ascii="Arial" w:hAnsi="Arial" w:cs="Arial"/>
                    <w:b/>
                    <w:bCs/>
                    <w:color w:val="231F20"/>
                    <w:sz w:val="32"/>
                    <w:szCs w:val="32"/>
                  </w:rPr>
                  <w:t>13</w:t>
                </w:r>
              </w:p>
            </w:txbxContent>
          </v:textbox>
          <w10:wrap anchorx="page" anchory="page"/>
        </v:shape>
      </w:pict>
    </w:r>
    <w:r w:rsidR="00662A07">
      <w:rPr>
        <w:noProof/>
      </w:rPr>
      <w:pict w14:anchorId="06A86E54">
        <v:shape id="_x0000_s2051" type="#_x0000_t202" style="position:absolute;left:0;text-align:left;margin-left:28.8pt;margin-top:96.4pt;width:554.4pt;height:12pt;z-index:-251658752;mso-position-horizontal-relative:page;mso-position-vertical-relative:page" filled="f" stroked="f">
          <v:textbox style="mso-next-textbox:#_x0000_s2051" inset="0,0,0,0">
            <w:txbxContent>
              <w:p w14:paraId="7C72F090" w14:textId="77777777" w:rsidR="00E66966" w:rsidRPr="00CB09E7" w:rsidRDefault="00D250EE" w:rsidP="00672F2B">
                <w:pPr>
                  <w:spacing w:after="0" w:line="200" w:lineRule="exact"/>
                  <w:ind w:left="40"/>
                  <w:rPr>
                    <w:color w:val="000000"/>
                    <w:sz w:val="20"/>
                    <w:szCs w:val="20"/>
                  </w:rPr>
                </w:pPr>
                <w:r>
                  <w:rPr>
                    <w:noProof/>
                    <w:color w:val="000000"/>
                    <w:sz w:val="20"/>
                    <w:szCs w:val="20"/>
                  </w:rPr>
                  <w:drawing>
                    <wp:inline distT="0" distB="0" distL="0" distR="0" wp14:anchorId="31DCA9B7" wp14:editId="79679F54">
                      <wp:extent cx="7019925" cy="28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19925" cy="28575"/>
                              </a:xfrm>
                              <a:prstGeom prst="rect">
                                <a:avLst/>
                              </a:prstGeom>
                              <a:noFill/>
                              <a:ln w="9525">
                                <a:noFill/>
                                <a:miter lim="800000"/>
                                <a:headEnd/>
                                <a:tailEnd/>
                              </a:ln>
                            </pic:spPr>
                          </pic:pic>
                        </a:graphicData>
                      </a:graphic>
                    </wp:inline>
                  </w:drawing>
                </w:r>
              </w:p>
            </w:txbxContent>
          </v:textbox>
          <w10:wrap anchorx="page" anchory="page"/>
        </v:shape>
      </w:pict>
    </w:r>
    <w:r w:rsidR="00662A07">
      <w:rPr>
        <w:noProof/>
      </w:rPr>
      <w:pict w14:anchorId="069D4B3C">
        <v:shape id="_x0000_s2052" type="#_x0000_t202" style="position:absolute;left:0;text-align:left;margin-left:273.6pt;margin-top:28.8pt;width:309.6pt;height:28.8pt;z-index:-251660800;mso-position-horizontal-relative:page;mso-position-vertical-relative:page" fillcolor="black" stroked="f">
          <v:textbox style="mso-next-textbox:#_x0000_s2052" inset="0,0,0,0">
            <w:txbxContent>
              <w:p w14:paraId="36D81327" w14:textId="77777777" w:rsidR="00E66966" w:rsidRPr="00207CBA" w:rsidRDefault="00E66966" w:rsidP="00CB09E7">
                <w:pPr>
                  <w:widowControl w:val="0"/>
                  <w:shd w:val="clear" w:color="auto" w:fill="000000"/>
                  <w:spacing w:after="0" w:line="576" w:lineRule="exact"/>
                  <w:jc w:val="right"/>
                  <w:rPr>
                    <w:rFonts w:ascii="Arial" w:hAnsi="Arial" w:cs="Arial"/>
                    <w:b/>
                    <w:bCs/>
                    <w:color w:val="FFFFFF"/>
                    <w:position w:val="-4"/>
                    <w:sz w:val="60"/>
                    <w:szCs w:val="60"/>
                  </w:rPr>
                </w:pPr>
                <w:r>
                  <w:rPr>
                    <w:rFonts w:ascii="Arial" w:hAnsi="Arial" w:cs="Arial"/>
                    <w:b/>
                    <w:bCs/>
                    <w:color w:val="FFFFFF"/>
                    <w:position w:val="-4"/>
                    <w:sz w:val="60"/>
                    <w:szCs w:val="60"/>
                  </w:rPr>
                  <w:t>USGBC LEED</w:t>
                </w:r>
                <w:r>
                  <w:rPr>
                    <w:rFonts w:ascii="Arial" w:hAnsi="Arial" w:cs="Arial"/>
                    <w:b/>
                    <w:sz w:val="56"/>
                    <w:szCs w:val="56"/>
                    <w:vertAlign w:val="superscript"/>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7385" w14:textId="77777777" w:rsidR="006946D1" w:rsidRDefault="00694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BD7"/>
    <w:multiLevelType w:val="hybridMultilevel"/>
    <w:tmpl w:val="021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437FC"/>
    <w:multiLevelType w:val="hybridMultilevel"/>
    <w:tmpl w:val="4B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311CF"/>
    <w:multiLevelType w:val="hybridMultilevel"/>
    <w:tmpl w:val="BBE6ED00"/>
    <w:lvl w:ilvl="0" w:tplc="000018BE">
      <w:start w:val="1"/>
      <w:numFmt w:val="decimal"/>
      <w:lvlText w:val="1.%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57D3"/>
    <w:rsid w:val="000253E5"/>
    <w:rsid w:val="0003776C"/>
    <w:rsid w:val="000E1C67"/>
    <w:rsid w:val="000E7E0E"/>
    <w:rsid w:val="00105059"/>
    <w:rsid w:val="00105319"/>
    <w:rsid w:val="001477E5"/>
    <w:rsid w:val="001A6763"/>
    <w:rsid w:val="001C05F5"/>
    <w:rsid w:val="00203F67"/>
    <w:rsid w:val="00207CBA"/>
    <w:rsid w:val="002578D5"/>
    <w:rsid w:val="002669B1"/>
    <w:rsid w:val="0029289D"/>
    <w:rsid w:val="002B197B"/>
    <w:rsid w:val="002C6D88"/>
    <w:rsid w:val="002F5777"/>
    <w:rsid w:val="00311262"/>
    <w:rsid w:val="00312823"/>
    <w:rsid w:val="00334CBB"/>
    <w:rsid w:val="00373833"/>
    <w:rsid w:val="00377953"/>
    <w:rsid w:val="00397241"/>
    <w:rsid w:val="004056FA"/>
    <w:rsid w:val="00423263"/>
    <w:rsid w:val="0043417D"/>
    <w:rsid w:val="00441340"/>
    <w:rsid w:val="004546A3"/>
    <w:rsid w:val="00462F71"/>
    <w:rsid w:val="00494092"/>
    <w:rsid w:val="00502E3A"/>
    <w:rsid w:val="00512604"/>
    <w:rsid w:val="00516502"/>
    <w:rsid w:val="0053140B"/>
    <w:rsid w:val="0056436E"/>
    <w:rsid w:val="005B1903"/>
    <w:rsid w:val="00662A07"/>
    <w:rsid w:val="00670FC9"/>
    <w:rsid w:val="00672F2B"/>
    <w:rsid w:val="006946D1"/>
    <w:rsid w:val="006B5DC5"/>
    <w:rsid w:val="006F0FC8"/>
    <w:rsid w:val="006F1227"/>
    <w:rsid w:val="00773724"/>
    <w:rsid w:val="007A75C3"/>
    <w:rsid w:val="007F4BD1"/>
    <w:rsid w:val="0085556D"/>
    <w:rsid w:val="008932A7"/>
    <w:rsid w:val="008E5CCC"/>
    <w:rsid w:val="0090304C"/>
    <w:rsid w:val="009267D5"/>
    <w:rsid w:val="00927CC9"/>
    <w:rsid w:val="00981694"/>
    <w:rsid w:val="00A164C6"/>
    <w:rsid w:val="00A2257E"/>
    <w:rsid w:val="00A871B3"/>
    <w:rsid w:val="00A873F5"/>
    <w:rsid w:val="00AB1922"/>
    <w:rsid w:val="00B06948"/>
    <w:rsid w:val="00B13E27"/>
    <w:rsid w:val="00B36301"/>
    <w:rsid w:val="00BA43BD"/>
    <w:rsid w:val="00C05BE5"/>
    <w:rsid w:val="00CB09E7"/>
    <w:rsid w:val="00CE5C63"/>
    <w:rsid w:val="00D250EE"/>
    <w:rsid w:val="00D634F0"/>
    <w:rsid w:val="00D7176F"/>
    <w:rsid w:val="00D7608E"/>
    <w:rsid w:val="00D82091"/>
    <w:rsid w:val="00D829C2"/>
    <w:rsid w:val="00DA77C0"/>
    <w:rsid w:val="00DE597F"/>
    <w:rsid w:val="00E23E37"/>
    <w:rsid w:val="00E66966"/>
    <w:rsid w:val="00E82264"/>
    <w:rsid w:val="00EB6C64"/>
    <w:rsid w:val="00EC1CC9"/>
    <w:rsid w:val="00F00FED"/>
    <w:rsid w:val="00F1447E"/>
    <w:rsid w:val="00F260AD"/>
    <w:rsid w:val="00FA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1E16BE7"/>
  <w15:docId w15:val="{893FDCEF-BFB1-4BD4-B747-2716F346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304C"/>
    <w:rPr>
      <w:rFonts w:cs="Times New Roman"/>
    </w:rPr>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304C"/>
    <w:rPr>
      <w:rFonts w:cs="Times New Roman"/>
    </w:rPr>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F2B"/>
    <w:rPr>
      <w:rFonts w:ascii="Tahoma" w:hAnsi="Tahoma" w:cs="Tahoma"/>
      <w:sz w:val="16"/>
      <w:szCs w:val="16"/>
    </w:rPr>
  </w:style>
  <w:style w:type="character" w:styleId="Hyperlink">
    <w:name w:val="Hyperlink"/>
    <w:basedOn w:val="DefaultParagraphFont"/>
    <w:uiPriority w:val="99"/>
    <w:unhideWhenUsed/>
    <w:rsid w:val="005B1903"/>
    <w:rPr>
      <w:rFonts w:cs="Times New Roman"/>
      <w:color w:val="0000FF"/>
      <w:u w:val="single"/>
    </w:rPr>
  </w:style>
  <w:style w:type="paragraph" w:styleId="NoSpacing">
    <w:name w:val="No Spacing"/>
    <w:uiPriority w:val="1"/>
    <w:qFormat/>
    <w:rsid w:val="000157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1631">
      <w:marLeft w:val="0"/>
      <w:marRight w:val="0"/>
      <w:marTop w:val="0"/>
      <w:marBottom w:val="0"/>
      <w:divBdr>
        <w:top w:val="none" w:sz="0" w:space="0" w:color="auto"/>
        <w:left w:val="none" w:sz="0" w:space="0" w:color="auto"/>
        <w:bottom w:val="none" w:sz="0" w:space="0" w:color="auto"/>
        <w:right w:val="none" w:sz="0" w:space="0" w:color="auto"/>
      </w:divBdr>
    </w:div>
    <w:div w:id="1204711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Company>Nystrom Inc</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Flooring System MAXgrid MG12 LEED</dc:title>
  <dc:subject>NYS_EFS_MG_LEED</dc:subject>
  <dc:creator>Nystrom Staff</dc:creator>
  <cp:keywords>Nystrom_EFS_MAXgrid_MG12_LEED_HPD</cp:keywords>
  <cp:lastModifiedBy>Ashley DeBoer</cp:lastModifiedBy>
  <cp:revision>7</cp:revision>
  <cp:lastPrinted>2014-10-15T18:39:00Z</cp:lastPrinted>
  <dcterms:created xsi:type="dcterms:W3CDTF">2015-09-23T14:40:00Z</dcterms:created>
  <dcterms:modified xsi:type="dcterms:W3CDTF">2021-10-12T18:32:00Z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NYS_EFS_MG_LEED</vt:lpwstr>
  </property>
  <property fmtid="{D5CDD505-2E9C-101B-9397-08002B2CF9AE}" pid="3" name="Revision">
    <vt:lpwstr>E</vt:lpwstr>
  </property>
</Properties>
</file>