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3FA5D9D3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BB6F4C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BB6F4C">
      <w:pPr>
        <w:pStyle w:val="PR1"/>
      </w:pPr>
      <w:r w:rsidRPr="008E6BED">
        <w:t>Section includes:</w:t>
      </w:r>
    </w:p>
    <w:p w14:paraId="7A8B7D60" w14:textId="77777777" w:rsidR="00AF659E" w:rsidRDefault="002022BF" w:rsidP="00BB6F4C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BB6F4C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BB6F4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BB6F4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BB6F4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BB6F4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BB6F4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BB6F4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BB6F4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BB6F4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B6F4C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BB6F4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BB6F4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BB6F4C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BB6F4C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BB6F4C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BB6F4C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BB6F4C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BB6F4C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BB6F4C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BB6F4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BB6F4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BB6F4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B6F4C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BB6F4C">
      <w:pPr>
        <w:pStyle w:val="PR1"/>
      </w:pPr>
      <w:r>
        <w:t>Aluminum:  ASTM B209, ASTM B221</w:t>
      </w:r>
    </w:p>
    <w:p w14:paraId="685FA61B" w14:textId="77777777" w:rsidR="00F36BE0" w:rsidRDefault="00F36BE0" w:rsidP="00BB6F4C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BB6F4C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BB6F4C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BB6F4C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38264D40" w14:textId="69D887E4" w:rsidR="00AF659E" w:rsidRPr="008E6BED" w:rsidRDefault="00AF659E" w:rsidP="00E6024F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BB6F4C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77777777" w:rsidR="00AF659E" w:rsidRDefault="00AF659E" w:rsidP="00AF659E">
      <w:pPr>
        <w:pStyle w:val="ART"/>
        <w:spacing w:before="480"/>
        <w:contextualSpacing w:val="0"/>
      </w:pPr>
      <w:r>
        <w:t>FLOOR-TO-FLOOR INTERIOR EXPANSION CONTROL SYSTEMS</w:t>
      </w:r>
    </w:p>
    <w:p w14:paraId="2960D98C" w14:textId="4F0B7F7C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.</w:t>
      </w:r>
    </w:p>
    <w:p w14:paraId="41D2C03C" w14:textId="77777777" w:rsidR="00BB6F4C" w:rsidRDefault="00BB6F4C" w:rsidP="00BB6F4C">
      <w:pPr>
        <w:pStyle w:val="PR1"/>
      </w:pPr>
      <w:bookmarkStart w:id="4" w:name="ptBookmark5369"/>
      <w:r>
        <w:lastRenderedPageBreak/>
        <w:t>Seismic Aluminum Flooring System No Bump Blockout Application</w:t>
      </w:r>
      <w:r>
        <w:t xml:space="preserve"> </w:t>
      </w:r>
    </w:p>
    <w:p w14:paraId="7323FC24" w14:textId="2B464506" w:rsidR="00E6024F" w:rsidRDefault="00F36BE0" w:rsidP="00BB6F4C">
      <w:pPr>
        <w:pStyle w:val="PR2"/>
      </w:pPr>
      <w:r>
        <w:t>Basis-of-Design Product: Nystrom Mode</w:t>
      </w:r>
      <w:r w:rsidRPr="002022BF">
        <w:t xml:space="preserve">l </w:t>
      </w:r>
      <w:r>
        <w:t>EJN-SFP</w:t>
      </w:r>
    </w:p>
    <w:p w14:paraId="4200AA00" w14:textId="468CE718" w:rsidR="00F36BE0" w:rsidRDefault="00F36BE0" w:rsidP="00BB6F4C">
      <w:pPr>
        <w:pStyle w:val="PR2"/>
      </w:pPr>
      <w:r>
        <w:t>Design Criteria:</w:t>
      </w:r>
    </w:p>
    <w:p w14:paraId="2E869FF6" w14:textId="77777777" w:rsidR="00F36BE0" w:rsidRDefault="00F36BE0" w:rsidP="00F36BE0">
      <w:pPr>
        <w:pStyle w:val="PR3"/>
        <w:spacing w:before="0"/>
        <w:outlineLvl w:val="9"/>
      </w:pPr>
      <w:r>
        <w:t xml:space="preserve">Exposed Sightline: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7DB371A9" w14:textId="77777777" w:rsidR="00F36BE0" w:rsidRDefault="00F36BE0" w:rsidP="00F36BE0">
      <w:pPr>
        <w:pStyle w:val="PR3"/>
        <w:spacing w:before="0"/>
        <w:outlineLvl w:val="9"/>
      </w:pPr>
      <w:r>
        <w:t xml:space="preserve">Nominal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681C63AB" w14:textId="77777777" w:rsidR="00F36BE0" w:rsidRDefault="00F36BE0" w:rsidP="00F36BE0">
      <w:pPr>
        <w:pStyle w:val="PR3"/>
        <w:spacing w:before="0"/>
        <w:outlineLvl w:val="9"/>
      </w:pPr>
      <w:r>
        <w:t xml:space="preserve">Maximum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242879F4" w14:textId="77777777" w:rsidR="00F36BE0" w:rsidRDefault="00F36BE0" w:rsidP="00F36BE0">
      <w:pPr>
        <w:pStyle w:val="PR3"/>
        <w:spacing w:before="0"/>
        <w:outlineLvl w:val="9"/>
      </w:pPr>
      <w:r>
        <w:t>Material: Aluminum</w:t>
      </w:r>
    </w:p>
    <w:p w14:paraId="3FDB4F85" w14:textId="77777777" w:rsidR="00F36BE0" w:rsidRDefault="00F36BE0" w:rsidP="00F36BE0">
      <w:pPr>
        <w:pStyle w:val="PR4"/>
      </w:pPr>
      <w:r>
        <w:t>Finish: Mill.</w:t>
      </w:r>
    </w:p>
    <w:p w14:paraId="5B867EE7" w14:textId="77777777" w:rsidR="00F36BE0" w:rsidRDefault="00F36BE0" w:rsidP="00F36BE0">
      <w:pPr>
        <w:pStyle w:val="PR3"/>
        <w:spacing w:before="0"/>
        <w:outlineLvl w:val="9"/>
      </w:pPr>
      <w:r>
        <w:t>Attachment Method: Mechanical anchors.</w:t>
      </w:r>
    </w:p>
    <w:p w14:paraId="51BF38BC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2FF075D1" w14:textId="77777777" w:rsidR="00F36BE0" w:rsidRPr="00F66E91" w:rsidRDefault="00F36BE0" w:rsidP="00F36BE0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6E48D85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52D556F8" w14:textId="4B8628DF" w:rsidR="002022BF" w:rsidRDefault="00F36BE0" w:rsidP="005A15BE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3DAC442D" w14:textId="77777777" w:rsidR="00BB6F4C" w:rsidRDefault="00BB6F4C" w:rsidP="00BB6F4C">
      <w:pPr>
        <w:pStyle w:val="PR1"/>
      </w:pPr>
      <w:r w:rsidRPr="00BB6F4C">
        <w:t>Seismic Aluminum Flooring System No Bump Blockout Application</w:t>
      </w:r>
      <w:r w:rsidRPr="00BB6F4C">
        <w:t xml:space="preserve"> </w:t>
      </w:r>
    </w:p>
    <w:p w14:paraId="0FAC92DE" w14:textId="0C33E386" w:rsidR="00E6024F" w:rsidRPr="00E6024F" w:rsidRDefault="00813248" w:rsidP="00BB6F4C">
      <w:pPr>
        <w:pStyle w:val="PR2"/>
      </w:pPr>
      <w:r>
        <w:t>Basis-of-Design Product: Nystrom Mode</w:t>
      </w:r>
      <w:r w:rsidRPr="002022BF">
        <w:t xml:space="preserve">l </w:t>
      </w:r>
      <w:r>
        <w:t>EJN-</w:t>
      </w:r>
      <w:proofErr w:type="spellStart"/>
      <w:r>
        <w:t>SFPw</w:t>
      </w:r>
      <w:proofErr w:type="spellEnd"/>
      <w:r w:rsidRPr="00D20970">
        <w:rPr>
          <w:b/>
        </w:rPr>
        <w:t xml:space="preserve"> </w:t>
      </w:r>
    </w:p>
    <w:p w14:paraId="3BA9B458" w14:textId="23625D93" w:rsidR="00813248" w:rsidRDefault="00813248" w:rsidP="00BB6F4C">
      <w:pPr>
        <w:pStyle w:val="PR2"/>
      </w:pPr>
      <w:r>
        <w:t>Design Criteria:</w:t>
      </w:r>
    </w:p>
    <w:p w14:paraId="78786DBB" w14:textId="77777777" w:rsidR="00813248" w:rsidRDefault="00813248" w:rsidP="00813248">
      <w:pPr>
        <w:pStyle w:val="PR3"/>
        <w:spacing w:before="0"/>
        <w:outlineLvl w:val="9"/>
      </w:pPr>
      <w:r>
        <w:t xml:space="preserve">Exposed Sightline: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3F169000" w14:textId="77777777" w:rsidR="00813248" w:rsidRDefault="00813248" w:rsidP="00813248">
      <w:pPr>
        <w:pStyle w:val="PR3"/>
        <w:spacing w:before="0"/>
        <w:outlineLvl w:val="9"/>
      </w:pPr>
      <w:r>
        <w:t xml:space="preserve">Nominal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5F9F2D95" w14:textId="77777777" w:rsidR="00813248" w:rsidRDefault="00813248" w:rsidP="00813248">
      <w:pPr>
        <w:pStyle w:val="PR3"/>
        <w:spacing w:before="0"/>
        <w:outlineLvl w:val="9"/>
      </w:pPr>
      <w:r>
        <w:t xml:space="preserve">Maximum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78A4A84F" w14:textId="77777777" w:rsidR="00813248" w:rsidRDefault="00813248" w:rsidP="00813248">
      <w:pPr>
        <w:pStyle w:val="PR3"/>
        <w:spacing w:before="0"/>
        <w:outlineLvl w:val="9"/>
      </w:pPr>
      <w:r>
        <w:t>Material: Aluminum</w:t>
      </w:r>
    </w:p>
    <w:p w14:paraId="5FD9D037" w14:textId="77777777" w:rsidR="00813248" w:rsidRDefault="00813248" w:rsidP="00813248">
      <w:pPr>
        <w:pStyle w:val="PR4"/>
      </w:pPr>
      <w:r>
        <w:t>Finish: Mill.</w:t>
      </w:r>
    </w:p>
    <w:p w14:paraId="4215AF03" w14:textId="77777777" w:rsidR="00813248" w:rsidRDefault="00813248" w:rsidP="00813248">
      <w:pPr>
        <w:pStyle w:val="PR3"/>
        <w:spacing w:before="0"/>
        <w:outlineLvl w:val="9"/>
      </w:pPr>
      <w:r>
        <w:t>Attachment Method: Mechanical anchors.</w:t>
      </w:r>
    </w:p>
    <w:p w14:paraId="54E7E88B" w14:textId="77777777" w:rsidR="00813248" w:rsidRDefault="00813248" w:rsidP="00813248">
      <w:pPr>
        <w:pStyle w:val="PR3"/>
        <w:spacing w:before="0"/>
        <w:outlineLvl w:val="9"/>
      </w:pPr>
      <w:r>
        <w:t>Load Capacity: Standard duty.</w:t>
      </w:r>
    </w:p>
    <w:p w14:paraId="5FD11042" w14:textId="77777777" w:rsidR="00813248" w:rsidRPr="00F66E91" w:rsidRDefault="00813248" w:rsidP="00813248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7269A62A" w14:textId="77777777" w:rsidR="00813248" w:rsidRDefault="00813248" w:rsidP="00813248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5A189291" w14:textId="77777777" w:rsidR="00813248" w:rsidRDefault="00813248" w:rsidP="00813248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BB6F4C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BB6F4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BB6F4C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BB6F4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BB6F4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BB6F4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BB6F4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BB6F4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BB6F4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BB6F4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B6F4C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BB6F4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BB6F4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BB6F4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61AE" w14:textId="77777777" w:rsidR="004438CC" w:rsidRDefault="004438CC" w:rsidP="0090304C">
      <w:pPr>
        <w:spacing w:after="0" w:line="240" w:lineRule="auto"/>
      </w:pPr>
      <w:r>
        <w:separator/>
      </w:r>
    </w:p>
  </w:endnote>
  <w:endnote w:type="continuationSeparator" w:id="0">
    <w:p w14:paraId="6C577B87" w14:textId="77777777" w:rsidR="004438CC" w:rsidRDefault="004438CC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4B34" w14:textId="77777777" w:rsidR="004438CC" w:rsidRDefault="004438CC" w:rsidP="0090304C">
      <w:pPr>
        <w:spacing w:after="0" w:line="240" w:lineRule="auto"/>
      </w:pPr>
      <w:r>
        <w:separator/>
      </w:r>
    </w:p>
  </w:footnote>
  <w:footnote w:type="continuationSeparator" w:id="0">
    <w:p w14:paraId="311E8EC1" w14:textId="77777777" w:rsidR="004438CC" w:rsidRDefault="004438CC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656635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6074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315C1"/>
    <w:rsid w:val="001477E5"/>
    <w:rsid w:val="00176C2D"/>
    <w:rsid w:val="001A0C86"/>
    <w:rsid w:val="001B2262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77BB"/>
    <w:rsid w:val="003335CC"/>
    <w:rsid w:val="003433D2"/>
    <w:rsid w:val="00366878"/>
    <w:rsid w:val="003807BB"/>
    <w:rsid w:val="00381894"/>
    <w:rsid w:val="00384BAD"/>
    <w:rsid w:val="003C2177"/>
    <w:rsid w:val="003C2E9F"/>
    <w:rsid w:val="003D5FD8"/>
    <w:rsid w:val="00414BFE"/>
    <w:rsid w:val="00420CBE"/>
    <w:rsid w:val="00423263"/>
    <w:rsid w:val="004438CC"/>
    <w:rsid w:val="00444504"/>
    <w:rsid w:val="0047306F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76B17"/>
    <w:rsid w:val="005A05C2"/>
    <w:rsid w:val="005A15BE"/>
    <w:rsid w:val="005A6CE2"/>
    <w:rsid w:val="005B03B3"/>
    <w:rsid w:val="005B1903"/>
    <w:rsid w:val="005C051A"/>
    <w:rsid w:val="005E2EF0"/>
    <w:rsid w:val="00621BBE"/>
    <w:rsid w:val="006461FF"/>
    <w:rsid w:val="00664BD7"/>
    <w:rsid w:val="00672F2B"/>
    <w:rsid w:val="006B03B5"/>
    <w:rsid w:val="006C74EE"/>
    <w:rsid w:val="006D39B7"/>
    <w:rsid w:val="006E3854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13248"/>
    <w:rsid w:val="0085556D"/>
    <w:rsid w:val="00861D8B"/>
    <w:rsid w:val="008755FB"/>
    <w:rsid w:val="00877857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64C06"/>
    <w:rsid w:val="00973A33"/>
    <w:rsid w:val="00973F60"/>
    <w:rsid w:val="009B46F3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6727C"/>
    <w:rsid w:val="00A767D1"/>
    <w:rsid w:val="00A873F5"/>
    <w:rsid w:val="00AE1E05"/>
    <w:rsid w:val="00AE5624"/>
    <w:rsid w:val="00AF2396"/>
    <w:rsid w:val="00AF3596"/>
    <w:rsid w:val="00AF659E"/>
    <w:rsid w:val="00B0377C"/>
    <w:rsid w:val="00B10C14"/>
    <w:rsid w:val="00B65E67"/>
    <w:rsid w:val="00B74398"/>
    <w:rsid w:val="00B86D3B"/>
    <w:rsid w:val="00BB6F4C"/>
    <w:rsid w:val="00BC56ED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B09E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7A2C"/>
    <w:rsid w:val="00D87D60"/>
    <w:rsid w:val="00E17A8E"/>
    <w:rsid w:val="00E20944"/>
    <w:rsid w:val="00E23E37"/>
    <w:rsid w:val="00E5166D"/>
    <w:rsid w:val="00E54CE2"/>
    <w:rsid w:val="00E6024F"/>
    <w:rsid w:val="00E7734C"/>
    <w:rsid w:val="00EA71D7"/>
    <w:rsid w:val="00EB6C64"/>
    <w:rsid w:val="00EC1CC9"/>
    <w:rsid w:val="00EE587B"/>
    <w:rsid w:val="00EE75ED"/>
    <w:rsid w:val="00EF6833"/>
    <w:rsid w:val="00F13224"/>
    <w:rsid w:val="00F1447E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BB6F4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B6F4C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BB6F4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4942</Characters>
  <Application>Microsoft Office Word</Application>
  <DocSecurity>0</DocSecurity>
  <Lines>112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5639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Nystrom_EJN_SFP_Spec</dc:subject>
  <dc:creator>Nystrom Staff</dc:creator>
  <cp:keywords>NYS_EJN_SFP_Spec</cp:keywords>
  <cp:lastModifiedBy>Sandy McWilliams CSI, LEED AP BD+C</cp:lastModifiedBy>
  <cp:revision>7</cp:revision>
  <cp:lastPrinted>2022-06-29T18:07:00Z</cp:lastPrinted>
  <dcterms:created xsi:type="dcterms:W3CDTF">2022-06-29T18:03:00Z</dcterms:created>
  <dcterms:modified xsi:type="dcterms:W3CDTF">2023-01-26T18:47:00Z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NYS_EJN_SFP_Spec</vt:lpwstr>
  </property>
  <property fmtid="{D5CDD505-2E9C-101B-9397-08002B2CF9AE}" pid="4" name="Revision">
    <vt:lpwstr>C</vt:lpwstr>
  </property>
</Properties>
</file>